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Минобрнауки России от 28.08.2023 N 822</w:t>
              <w:br/>
              <w:t xml:space="preserve">"Об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br/>
              <w:t xml:space="preserve">(Зарегистрировано в Минюсте России 27.09.2023 N 75343)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27 сентября 2023 г. N 75343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28 августа 2023 г. N 822</w:t>
      </w:r>
    </w:p>
    <w:p>
      <w:pPr>
        <w:pStyle w:val="2"/>
        <w:jc w:val="center"/>
      </w:pPr>
      <w:r>
        <w:rPr>
          <w:sz w:val="20"/>
        </w:rPr>
      </w:r>
    </w:p>
    <w:p>
      <w:pPr>
        <w:pStyle w:val="2"/>
        <w:jc w:val="center"/>
      </w:pPr>
      <w:r>
        <w:rPr>
          <w:sz w:val="20"/>
        </w:rPr>
        <w:t xml:space="preserve">ОБ УТВЕРЖДЕНИИ ПОРЯДКА И СЛУЧАЕВ</w:t>
      </w:r>
    </w:p>
    <w:p>
      <w:pPr>
        <w:pStyle w:val="2"/>
        <w:jc w:val="center"/>
      </w:pPr>
      <w:r>
        <w:rPr>
          <w:sz w:val="20"/>
        </w:rPr>
        <w:t xml:space="preserve">ПЕРЕХОДА ЛИЦ, ОБУЧАЮЩИХСЯ ПО ОБРАЗОВАТЕЛЬНЫМ ПРОГРАММАМ</w:t>
      </w:r>
    </w:p>
    <w:p>
      <w:pPr>
        <w:pStyle w:val="2"/>
        <w:jc w:val="center"/>
      </w:pPr>
      <w:r>
        <w:rPr>
          <w:sz w:val="20"/>
        </w:rPr>
        <w:t xml:space="preserve">СРЕДНЕГО ПРОФЕССИОНАЛЬНОГО И ВЫСШЕГО ОБРАЗОВАНИЯ, С ПЛАТНОГО</w:t>
      </w:r>
    </w:p>
    <w:p>
      <w:pPr>
        <w:pStyle w:val="2"/>
        <w:jc w:val="center"/>
      </w:pPr>
      <w:r>
        <w:rPr>
          <w:sz w:val="20"/>
        </w:rPr>
        <w:t xml:space="preserve">ОБУЧЕНИЯ НА ОБУЧЕНИЕ ЗА СЧЕТ СРЕДСТВ БЮДЖЕТНЫХ АССИГНОВАНИЙ</w:t>
      </w:r>
    </w:p>
    <w:p>
      <w:pPr>
        <w:pStyle w:val="2"/>
        <w:jc w:val="center"/>
      </w:pPr>
      <w:r>
        <w:rPr>
          <w:sz w:val="20"/>
        </w:rPr>
        <w:t xml:space="preserve">ФЕДЕРАЛЬНОГО БЮДЖЕТА, БЮДЖЕТОВ СУБЪЕКТОВ РОССИЙСКОЙ</w:t>
      </w:r>
    </w:p>
    <w:p>
      <w:pPr>
        <w:pStyle w:val="2"/>
        <w:jc w:val="center"/>
      </w:pPr>
      <w:r>
        <w:rPr>
          <w:sz w:val="20"/>
        </w:rPr>
        <w:t xml:space="preserve">ФЕДЕРАЦИИ И МЕСТНЫХ БЮДЖЕТОВ ЛИБО ЗА СЧЕТ СОБСТВЕННЫХ</w:t>
      </w:r>
    </w:p>
    <w:p>
      <w:pPr>
        <w:pStyle w:val="2"/>
        <w:jc w:val="center"/>
      </w:pPr>
      <w:r>
        <w:rPr>
          <w:sz w:val="20"/>
        </w:rPr>
        <w:t xml:space="preserve">СРЕДСТВ ОРГАНИЗАЦИИ, ОСУЩЕСТВЛЯЮЩЕЙ ОБРАЗОВАТЕЛЬНУЮ</w:t>
      </w:r>
    </w:p>
    <w:p>
      <w:pPr>
        <w:pStyle w:val="2"/>
        <w:jc w:val="center"/>
      </w:pPr>
      <w:r>
        <w:rPr>
          <w:sz w:val="20"/>
        </w:rPr>
        <w:t xml:space="preserve">ДЕЯТЕЛЬНОСТЬ, В ТОМ ЧИСЛЕ СРЕДСТВ, ПОЛУЧЕННЫХ</w:t>
      </w:r>
    </w:p>
    <w:p>
      <w:pPr>
        <w:pStyle w:val="2"/>
        <w:jc w:val="center"/>
      </w:pPr>
      <w:r>
        <w:rPr>
          <w:sz w:val="20"/>
        </w:rPr>
        <w:t xml:space="preserve">ОТ ПРИНОСЯЩЕЙ ДОХОД ДЕЯТЕЛЬНОСТИ, ДОБРОВОЛЬНЫХ</w:t>
      </w:r>
    </w:p>
    <w:p>
      <w:pPr>
        <w:pStyle w:val="2"/>
        <w:jc w:val="center"/>
      </w:pPr>
      <w:r>
        <w:rPr>
          <w:sz w:val="20"/>
        </w:rPr>
        <w:t xml:space="preserve">ПОЖЕРТВОВАНИЙ И ЦЕЛЕВЫХ ВЗНОСОВ ФИЗИЧЕСКИХ</w:t>
      </w:r>
    </w:p>
    <w:p>
      <w:pPr>
        <w:pStyle w:val="2"/>
        <w:jc w:val="center"/>
      </w:pPr>
      <w:r>
        <w:rPr>
          <w:sz w:val="20"/>
        </w:rPr>
        <w:t xml:space="preserve">И (ИЛИ) ЮРИДИЧЕСКИХ ЛИЦ</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14 части 1 статьи 34</w:t>
        </w:r>
      </w:hyperlink>
      <w:r>
        <w:rPr>
          <w:sz w:val="20"/>
        </w:rPr>
        <w:t xml:space="preserve"> Федерального закона от 29 декабря 2012 г. N 273-ФЗ "Об образовании в Российской Федерации", </w:t>
      </w:r>
      <w:hyperlink w:history="0" r:id="rId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пунктом 2 статьи 1</w:t>
        </w:r>
      </w:hyperlink>
      <w:r>
        <w:rPr>
          <w:sz w:val="20"/>
        </w:rPr>
        <w:t xml:space="preserve"> Федерального закона от 14 апреля 2023 г. N 124-ФЗ "О внесении изменений в Федеральный закон "Об образовании в Российской Федерации", </w:t>
      </w:r>
      <w:hyperlink w:history="0" r:id="rId1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4.2.19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pPr>
        <w:pStyle w:val="0"/>
        <w:spacing w:before="200" w:lineRule="auto"/>
        <w:ind w:firstLine="540"/>
        <w:jc w:val="both"/>
      </w:pPr>
      <w:r>
        <w:rPr>
          <w:sz w:val="20"/>
        </w:rPr>
        <w:t xml:space="preserve">1. Утвердить по согласованию с Министерством просвещения Российской Федерации прилагаемые </w:t>
      </w:r>
      <w:hyperlink w:history="0" w:anchor="P44" w:tooltip="ПОРЯДОК И СЛУЧАИ">
        <w:r>
          <w:rPr>
            <w:sz w:val="20"/>
            <w:color w:val="0000ff"/>
          </w:rPr>
          <w:t xml:space="preserve">порядок</w:t>
        </w:r>
      </w:hyperlink>
      <w:r>
        <w:rPr>
          <w:sz w:val="20"/>
        </w:rPr>
        <w:t xml:space="preserve"> и случаи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риказ Минобрнауки России от 06.06.2013 N 443 (ред. от 09.08.2023)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9.07.2013 N 29107)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(зарегистрирован Министерством юстиции Российской Федерации 19 июля 2013 г., регистрационный N 29107);</w:t>
      </w:r>
    </w:p>
    <w:p>
      <w:pPr>
        <w:pStyle w:val="0"/>
        <w:spacing w:before="200" w:lineRule="auto"/>
        <w:ind w:firstLine="540"/>
        <w:jc w:val="both"/>
      </w:pPr>
      <w:hyperlink w:history="0" r:id="rId13" w:tooltip="Приказ Минобрнауки России от 25.09.2014 N 1286 &quot;О внесении изменений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quot; (Зарегистрировано в Минюсте России 28.10.2014 N 34477)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25 сентября 2014 г. N 1286 "О внесении изменений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 (зарегистрирован Министерством юстиции Российской Федерации 28 октября 2014 г., регистрационный N 34477);</w:t>
      </w:r>
    </w:p>
    <w:p>
      <w:pPr>
        <w:pStyle w:val="0"/>
        <w:spacing w:before="200" w:lineRule="auto"/>
        <w:ind w:firstLine="540"/>
        <w:jc w:val="both"/>
      </w:pPr>
      <w:hyperlink w:history="0" r:id="rId14" w:tooltip="Приказ Минобрнауки России от 07.04.2017 N 315 &quot;О внесении изменения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quot; (Зарегистрировано в Минюсте России 04.05.2017 N 46601)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7 апреля 2017 г. N 315 "О внесении изменения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 (зарегистрирован Министерством юстиции Российской Федерации 4 мая 2017 г., регистрационный N 46601);</w:t>
      </w:r>
    </w:p>
    <w:p>
      <w:pPr>
        <w:pStyle w:val="0"/>
        <w:spacing w:before="200" w:lineRule="auto"/>
        <w:ind w:firstLine="540"/>
        <w:jc w:val="both"/>
      </w:pPr>
      <w:hyperlink w:history="0" r:id="rId15" w:tooltip="Приказ Минобрнауки России от 09.08.2023 N 776 &quot;О внесении изменений в приказ Министерства образования и науки Российской Федерации от 6 июня 2013 г. N 443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7.08.2023 N 74827) ------------ Утратил силу или отменен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от 9 августа 2023 г. N 776 "О внесении изменений в приказ Министерства образования и науки Российской Федерации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(зарегистрирован Министерством юстиции Российской Федерации 17 августа 2023 г., регистрационный N 74827).</w:t>
      </w:r>
    </w:p>
    <w:p>
      <w:pPr>
        <w:pStyle w:val="0"/>
        <w:spacing w:before="200" w:lineRule="auto"/>
        <w:ind w:firstLine="540"/>
        <w:jc w:val="both"/>
      </w:pPr>
      <w:r>
        <w:rPr>
          <w:sz w:val="20"/>
        </w:rPr>
        <w:t xml:space="preserve">3. Настоящий приказ вступает в силу с 1 сентября 2024 года и действует до 1 марта 2030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28 августа 2023 г. N 822</w:t>
      </w:r>
    </w:p>
    <w:p>
      <w:pPr>
        <w:pStyle w:val="0"/>
        <w:jc w:val="both"/>
      </w:pPr>
      <w:r>
        <w:rPr>
          <w:sz w:val="20"/>
        </w:rPr>
      </w:r>
    </w:p>
    <w:bookmarkStart w:id="44" w:name="P44"/>
    <w:bookmarkEnd w:id="44"/>
    <w:p>
      <w:pPr>
        <w:pStyle w:val="2"/>
        <w:jc w:val="center"/>
      </w:pPr>
      <w:r>
        <w:rPr>
          <w:sz w:val="20"/>
        </w:rPr>
        <w:t xml:space="preserve">ПОРЯДОК И СЛУЧАИ</w:t>
      </w:r>
    </w:p>
    <w:p>
      <w:pPr>
        <w:pStyle w:val="2"/>
        <w:jc w:val="center"/>
      </w:pPr>
      <w:r>
        <w:rPr>
          <w:sz w:val="20"/>
        </w:rPr>
        <w:t xml:space="preserve">ПЕРЕХОДА ЛИЦ, ОБУЧАЮЩИХСЯ ПО ОБРАЗОВАТЕЛЬНЫМ ПРОГРАММАМ</w:t>
      </w:r>
    </w:p>
    <w:p>
      <w:pPr>
        <w:pStyle w:val="2"/>
        <w:jc w:val="center"/>
      </w:pPr>
      <w:r>
        <w:rPr>
          <w:sz w:val="20"/>
        </w:rPr>
        <w:t xml:space="preserve">СРЕДНЕГО ПРОФЕССИОНАЛЬНОГО И ВЫСШЕГО ОБРАЗОВАНИЯ, С ПЛАТНОГО</w:t>
      </w:r>
    </w:p>
    <w:p>
      <w:pPr>
        <w:pStyle w:val="2"/>
        <w:jc w:val="center"/>
      </w:pPr>
      <w:r>
        <w:rPr>
          <w:sz w:val="20"/>
        </w:rPr>
        <w:t xml:space="preserve">ОБУЧЕНИЯ НА ОБУЧЕНИЕ ЗА СЧЕТ СРЕДСТВ БЮДЖЕТНЫХ АССИГНОВАНИЙ</w:t>
      </w:r>
    </w:p>
    <w:p>
      <w:pPr>
        <w:pStyle w:val="2"/>
        <w:jc w:val="center"/>
      </w:pPr>
      <w:r>
        <w:rPr>
          <w:sz w:val="20"/>
        </w:rPr>
        <w:t xml:space="preserve">ФЕДЕРАЛЬНОГО БЮДЖЕТА, БЮДЖЕТОВ СУБЪЕКТОВ РОССИЙСКОЙ</w:t>
      </w:r>
    </w:p>
    <w:p>
      <w:pPr>
        <w:pStyle w:val="2"/>
        <w:jc w:val="center"/>
      </w:pPr>
      <w:r>
        <w:rPr>
          <w:sz w:val="20"/>
        </w:rPr>
        <w:t xml:space="preserve">ФЕДЕРАЦИИ И МЕСТНЫХ БЮДЖЕТОВ ЛИБО ЗА СЧЕТ СОБСТВЕННЫХ</w:t>
      </w:r>
    </w:p>
    <w:p>
      <w:pPr>
        <w:pStyle w:val="2"/>
        <w:jc w:val="center"/>
      </w:pPr>
      <w:r>
        <w:rPr>
          <w:sz w:val="20"/>
        </w:rPr>
        <w:t xml:space="preserve">СРЕДСТВ ОРГАНИЗАЦИИ, ОСУЩЕСТВЛЯЮЩЕЙ ОБРАЗОВАТЕЛЬНУЮ</w:t>
      </w:r>
    </w:p>
    <w:p>
      <w:pPr>
        <w:pStyle w:val="2"/>
        <w:jc w:val="center"/>
      </w:pPr>
      <w:r>
        <w:rPr>
          <w:sz w:val="20"/>
        </w:rPr>
        <w:t xml:space="preserve">ДЕЯТЕЛЬНОСТЬ, В ТОМ ЧИСЛЕ СРЕДСТВ, ПОЛУЧЕННЫХ</w:t>
      </w:r>
    </w:p>
    <w:p>
      <w:pPr>
        <w:pStyle w:val="2"/>
        <w:jc w:val="center"/>
      </w:pPr>
      <w:r>
        <w:rPr>
          <w:sz w:val="20"/>
        </w:rPr>
        <w:t xml:space="preserve">ОТ ПРИНОСЯЩЕЙ ДОХОД ДЕЯТЕЛЬНОСТИ, ДОБРОВОЛЬНЫХ</w:t>
      </w:r>
    </w:p>
    <w:p>
      <w:pPr>
        <w:pStyle w:val="2"/>
        <w:jc w:val="center"/>
      </w:pPr>
      <w:r>
        <w:rPr>
          <w:sz w:val="20"/>
        </w:rPr>
        <w:t xml:space="preserve">ПОЖЕРТВОВАНИЙ И ЦЕЛЕВЫХ ВЗНОСОВ ФИЗИЧЕСКИХ</w:t>
      </w:r>
    </w:p>
    <w:p>
      <w:pPr>
        <w:pStyle w:val="2"/>
        <w:jc w:val="center"/>
      </w:pPr>
      <w:r>
        <w:rPr>
          <w:sz w:val="20"/>
        </w:rPr>
        <w:t xml:space="preserve">И (ИЛИ) ЮРИДИЧЕСКИХ ЛИЦ</w:t>
      </w:r>
    </w:p>
    <w:p>
      <w:pPr>
        <w:pStyle w:val="0"/>
        <w:jc w:val="both"/>
      </w:pPr>
      <w:r>
        <w:rPr>
          <w:sz w:val="20"/>
        </w:rPr>
      </w:r>
    </w:p>
    <w:p>
      <w:pPr>
        <w:pStyle w:val="0"/>
        <w:ind w:firstLine="540"/>
        <w:jc w:val="both"/>
      </w:pPr>
      <w:r>
        <w:rPr>
          <w:sz w:val="20"/>
        </w:rPr>
        <w:t xml:space="preserve">1. Порядок и случаи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(далее - Порядок), определяют правила и случаи перехода граждан Российской Федерации, обучающихся по образовательным программам среднего профессионального и высшего образования (далее соответственно - обучающиеся, образовательные программы),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внутри организации, реализующей образовательные программы (далее - образовательная организация).</w:t>
      </w:r>
    </w:p>
    <w:p>
      <w:pPr>
        <w:pStyle w:val="0"/>
        <w:spacing w:before="200" w:lineRule="auto"/>
        <w:ind w:firstLine="540"/>
        <w:jc w:val="both"/>
      </w:pPr>
      <w:r>
        <w:rPr>
          <w:sz w:val="20"/>
        </w:rPr>
        <w:t xml:space="preserve">Порядок распространяется также на иностранных граждан, которые в соответствии с законодательством Российской Федерации вправе обучаться за счет бюджетных ассигнований федерального бюджета, бюджетов субъектов Российской Федерации и местных бюджетов (далее - бюджетные ассигнования).</w:t>
      </w:r>
    </w:p>
    <w:p>
      <w:pPr>
        <w:pStyle w:val="0"/>
        <w:spacing w:before="200" w:lineRule="auto"/>
        <w:ind w:firstLine="540"/>
        <w:jc w:val="both"/>
      </w:pPr>
      <w:r>
        <w:rPr>
          <w:sz w:val="20"/>
        </w:rPr>
        <w:t xml:space="preserve">2. Переход с платного обучения на обучение за счет средств бюджетных ассигнований осуществляется при наличии свободных мест, финансируемых за счет бюджетных ассигнований по соответствующей образовательной программе по профессии, специальности, направлению подготовки, научной специальности и форме обучения на соответствующем курсе (далее - вакантные бюджетные места)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pPr>
        <w:pStyle w:val="0"/>
        <w:spacing w:before="200" w:lineRule="auto"/>
        <w:ind w:firstLine="540"/>
        <w:jc w:val="both"/>
      </w:pPr>
      <w:r>
        <w:rPr>
          <w:sz w:val="20"/>
        </w:rPr>
        <w:t xml:space="preserve">3. Количество вакантных бюджетных мест определяется образовательной организацией как разница между контрольными цифрами соответствующего года приема (количество мест приема на первый год обучения) и фактическим количеством обучающихся в образовательной организации по соответствующей образовательной программе по профессии, специальности, направлению подготовки, научной специальности, принятых на обучение за счет средств бюджетных ассигнований, и форме обучения на соответствующем курсе не менее двух раз в год (по окончании периодов обучения, выделяемых в рамках курсов).</w:t>
      </w:r>
    </w:p>
    <w:p>
      <w:pPr>
        <w:pStyle w:val="0"/>
        <w:spacing w:before="200" w:lineRule="auto"/>
        <w:ind w:firstLine="540"/>
        <w:jc w:val="both"/>
      </w:pPr>
      <w:r>
        <w:rPr>
          <w:sz w:val="20"/>
        </w:rPr>
        <w:t xml:space="preserve">Количество вакантных мест, финансируемых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определяется образовательной организацией самостоятельно.</w:t>
      </w:r>
    </w:p>
    <w:bookmarkStart w:id="61" w:name="P61"/>
    <w:bookmarkEnd w:id="61"/>
    <w:p>
      <w:pPr>
        <w:pStyle w:val="0"/>
        <w:spacing w:before="200" w:lineRule="auto"/>
        <w:ind w:firstLine="540"/>
        <w:jc w:val="both"/>
      </w:pPr>
      <w:r>
        <w:rPr>
          <w:sz w:val="20"/>
        </w:rPr>
        <w:t xml:space="preserve">4. Сроки подачи обучающимися заявлений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(далее - заявление на переход) устанавливаются образовательной организацией самостоятельно.</w:t>
      </w:r>
    </w:p>
    <w:p>
      <w:pPr>
        <w:pStyle w:val="0"/>
        <w:spacing w:before="200" w:lineRule="auto"/>
        <w:ind w:firstLine="540"/>
        <w:jc w:val="both"/>
      </w:pPr>
      <w:r>
        <w:rPr>
          <w:sz w:val="20"/>
        </w:rPr>
        <w:t xml:space="preserve">5. Образовательной организацией обеспечивается открытость информации о количестве вакантных бюджетных мест за счет средств бюджетных ассигнований, количестве вакантных мест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сроках подачи обучающимися заявлений на переход путем размещения указанной информации в информационно-телекоммуникационных сетях, в том числе на официальном сайте образовательной организации в сети "Интернет".</w:t>
      </w:r>
    </w:p>
    <w:bookmarkStart w:id="63" w:name="P63"/>
    <w:bookmarkEnd w:id="63"/>
    <w:p>
      <w:pPr>
        <w:pStyle w:val="0"/>
        <w:spacing w:before="200" w:lineRule="auto"/>
        <w:ind w:firstLine="540"/>
        <w:jc w:val="both"/>
      </w:pPr>
      <w:r>
        <w:rPr>
          <w:sz w:val="20"/>
        </w:rPr>
        <w:t xml:space="preserve">6. Право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pPr>
        <w:pStyle w:val="0"/>
        <w:spacing w:before="200" w:lineRule="auto"/>
        <w:ind w:firstLine="540"/>
        <w:jc w:val="both"/>
      </w:pPr>
      <w:r>
        <w:rPr>
          <w:sz w:val="20"/>
        </w:rPr>
        <w:t xml:space="preserve">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bookmarkStart w:id="65" w:name="P65"/>
    <w:bookmarkEnd w:id="65"/>
    <w:p>
      <w:pPr>
        <w:pStyle w:val="0"/>
        <w:spacing w:before="200" w:lineRule="auto"/>
        <w:ind w:firstLine="540"/>
        <w:jc w:val="both"/>
      </w:pPr>
      <w:r>
        <w:rPr>
          <w:sz w:val="20"/>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w:t>
      </w:r>
    </w:p>
    <w:p>
      <w:pPr>
        <w:pStyle w:val="0"/>
        <w:spacing w:before="200" w:lineRule="auto"/>
        <w:ind w:firstLine="540"/>
        <w:jc w:val="both"/>
      </w:pPr>
      <w:r>
        <w:rPr>
          <w:sz w:val="20"/>
        </w:rPr>
        <w:t xml:space="preserve">детей-сирот и детей, оставшихся без попечения родителей, а также лицам из числа детей-сирот и детей, оставшихся без попечения родителей;</w:t>
      </w:r>
    </w:p>
    <w:p>
      <w:pPr>
        <w:pStyle w:val="0"/>
        <w:spacing w:before="200" w:lineRule="auto"/>
        <w:ind w:firstLine="540"/>
        <w:jc w:val="both"/>
      </w:pPr>
      <w:r>
        <w:rPr>
          <w:sz w:val="20"/>
        </w:rPr>
        <w:t xml:space="preserve">граждан в возрасте до двадцати лет, имеющих только одного родителя-инвалида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pPr>
        <w:pStyle w:val="0"/>
        <w:spacing w:before="200" w:lineRule="auto"/>
        <w:ind w:firstLine="540"/>
        <w:jc w:val="both"/>
      </w:pPr>
      <w:r>
        <w:rPr>
          <w:sz w:val="20"/>
        </w:rPr>
        <w:t xml:space="preserve">женщин, родивших ребенка в период обучения;</w:t>
      </w:r>
    </w:p>
    <w:p>
      <w:pPr>
        <w:pStyle w:val="0"/>
        <w:spacing w:before="200" w:lineRule="auto"/>
        <w:ind w:firstLine="540"/>
        <w:jc w:val="both"/>
      </w:pPr>
      <w:r>
        <w:rPr>
          <w:sz w:val="20"/>
        </w:rPr>
        <w:t xml:space="preserve">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bookmarkStart w:id="70" w:name="P70"/>
    <w:bookmarkEnd w:id="70"/>
    <w:p>
      <w:pPr>
        <w:pStyle w:val="0"/>
        <w:spacing w:before="200" w:lineRule="auto"/>
        <w:ind w:firstLine="540"/>
        <w:jc w:val="both"/>
      </w:pPr>
      <w:r>
        <w:rPr>
          <w:sz w:val="20"/>
        </w:rPr>
        <w:t xml:space="preserve">в) утраты обучающимся в период обучения одного или обоих родителей (законных представителей) или единственного родителя (законного представителя).</w:t>
      </w:r>
    </w:p>
    <w:p>
      <w:pPr>
        <w:pStyle w:val="0"/>
        <w:spacing w:before="200" w:lineRule="auto"/>
        <w:ind w:firstLine="540"/>
        <w:jc w:val="both"/>
      </w:pPr>
      <w:r>
        <w:rPr>
          <w:sz w:val="20"/>
        </w:rPr>
        <w:t xml:space="preserve">7. Участники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переводятся на вакантные бюджетные места, перераспределенные в соответствии с </w:t>
      </w:r>
      <w:hyperlink w:history="0" r:id="rId16" w:tooltip="Постановление Правительства РФ от 08.08.2023 N 1292 &quot;Об утверждении Правил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quot; {КонсультантПлюс}">
        <w:r>
          <w:rPr>
            <w:sz w:val="20"/>
            <w:color w:val="0000ff"/>
          </w:rPr>
          <w:t xml:space="preserve">Правилами</w:t>
        </w:r>
      </w:hyperlink>
      <w:r>
        <w:rPr>
          <w:sz w:val="20"/>
        </w:rPr>
        <w:t xml:space="preserve">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 утвержденными постановлением Правительства Российской Федерации от 8 августа 2023 г. N 1292 (далее - Правила).</w:t>
      </w:r>
    </w:p>
    <w:p>
      <w:pPr>
        <w:pStyle w:val="0"/>
        <w:spacing w:before="200" w:lineRule="auto"/>
        <w:ind w:firstLine="540"/>
        <w:jc w:val="both"/>
      </w:pPr>
      <w:r>
        <w:rPr>
          <w:sz w:val="20"/>
        </w:rPr>
        <w:t xml:space="preserve">Участник специальной военной операции, желающий перейти на вакантное бюджетное место, представляет в образовательную организацию, в которой он обучается, заявление на переход на имя руководителя образовательной организации и документ, подтверждающий участие в специальной военной операции (в случае отсутствия в личном деле обучающегося).</w:t>
      </w:r>
    </w:p>
    <w:p>
      <w:pPr>
        <w:pStyle w:val="0"/>
        <w:spacing w:before="200" w:lineRule="auto"/>
        <w:ind w:firstLine="540"/>
        <w:jc w:val="both"/>
      </w:pPr>
      <w:r>
        <w:rPr>
          <w:sz w:val="20"/>
        </w:rPr>
        <w:t xml:space="preserve">8. Решение о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принимается специально создаваемой образовательной организацией комиссией (далее - Комиссия) с учетом мнения совета обучающихся образовательной организации, профессионального союза обучающихся (при наличии) и совета родителей (законных представителей) несовершеннолетних обучающихся (при наличии, в отношении несовершеннолетних обучающихся) либо с учетом определенного назначения добровольных пожертвований или целевых взносов физических и (или) юридических лиц.</w:t>
      </w:r>
    </w:p>
    <w:p>
      <w:pPr>
        <w:pStyle w:val="0"/>
        <w:spacing w:before="200" w:lineRule="auto"/>
        <w:ind w:firstLine="540"/>
        <w:jc w:val="both"/>
      </w:pPr>
      <w:r>
        <w:rPr>
          <w:sz w:val="20"/>
        </w:rPr>
        <w:t xml:space="preserve">Состав, полномочия и порядок деятельности Комиссии определяется образовательной организацией самостоятельно.</w:t>
      </w:r>
    </w:p>
    <w:p>
      <w:pPr>
        <w:pStyle w:val="0"/>
        <w:spacing w:before="200" w:lineRule="auto"/>
        <w:ind w:firstLine="540"/>
        <w:jc w:val="both"/>
      </w:pPr>
      <w:r>
        <w:rPr>
          <w:sz w:val="20"/>
        </w:rPr>
        <w:t xml:space="preserve">9. Обучающийся, желающий перейти на вакантное бюджетное место или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представляет в образовательную организацию, в которой он обучается, заявление на переход на имя руководителя образовательной организации.</w:t>
      </w:r>
    </w:p>
    <w:p>
      <w:pPr>
        <w:pStyle w:val="0"/>
        <w:spacing w:before="200" w:lineRule="auto"/>
        <w:ind w:firstLine="540"/>
        <w:jc w:val="both"/>
      </w:pPr>
      <w:r>
        <w:rPr>
          <w:sz w:val="20"/>
        </w:rPr>
        <w:t xml:space="preserve">К заявлению на переход прилагаются следующие документы:</w:t>
      </w:r>
    </w:p>
    <w:p>
      <w:pPr>
        <w:pStyle w:val="0"/>
        <w:spacing w:before="200" w:lineRule="auto"/>
        <w:ind w:firstLine="540"/>
        <w:jc w:val="both"/>
      </w:pPr>
      <w:r>
        <w:rPr>
          <w:sz w:val="20"/>
        </w:rPr>
        <w:t xml:space="preserve">а) подтверждающие отнесение данного обучающегося к указанным в </w:t>
      </w:r>
      <w:hyperlink w:history="0" w:anchor="P65" w:tooltip="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r>
          <w:rPr>
            <w:sz w:val="20"/>
            <w:color w:val="0000ff"/>
          </w:rPr>
          <w:t xml:space="preserve">подпунктах "б"</w:t>
        </w:r>
      </w:hyperlink>
      <w:r>
        <w:rPr>
          <w:sz w:val="20"/>
        </w:rPr>
        <w:t xml:space="preserve"> и </w:t>
      </w:r>
      <w:hyperlink w:history="0" w:anchor="P70" w:tooltip="в) утраты обучающимся в период обучения одного или обоих родителей (законных представителей) или единственного родителя (законного представителя).">
        <w:r>
          <w:rPr>
            <w:sz w:val="20"/>
            <w:color w:val="0000ff"/>
          </w:rPr>
          <w:t xml:space="preserve">"в" пункта 6</w:t>
        </w:r>
      </w:hyperlink>
      <w:r>
        <w:rPr>
          <w:sz w:val="20"/>
        </w:rPr>
        <w:t xml:space="preserve"> Порядка категориям граждан (в случае отсутствия в личном деле обучающегося);</w:t>
      </w:r>
    </w:p>
    <w:p>
      <w:pPr>
        <w:pStyle w:val="0"/>
        <w:spacing w:before="200" w:lineRule="auto"/>
        <w:ind w:firstLine="540"/>
        <w:jc w:val="both"/>
      </w:pPr>
      <w:r>
        <w:rPr>
          <w:sz w:val="20"/>
        </w:rPr>
        <w:t xml:space="preserve">б) подтверждающие особые достижения в учебной, научно-исследовательской, общественной, культурно-творческой и спортивной деятельности образовательной организации (при наличии).</w:t>
      </w:r>
    </w:p>
    <w:bookmarkStart w:id="79" w:name="P79"/>
    <w:bookmarkEnd w:id="79"/>
    <w:p>
      <w:pPr>
        <w:pStyle w:val="0"/>
        <w:spacing w:before="200" w:lineRule="auto"/>
        <w:ind w:firstLine="540"/>
        <w:jc w:val="both"/>
      </w:pPr>
      <w:r>
        <w:rPr>
          <w:sz w:val="20"/>
        </w:rPr>
        <w:t xml:space="preserve">10. Образовательная организация в течение 2 календарных дней с даты окончания срока приема заявлений на переход, установленного в соответствии с </w:t>
      </w:r>
      <w:hyperlink w:history="0" w:anchor="P61" w:tooltip="4. Сроки подачи обучающимися заявлений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далее - заявление на переход) устанавливаются образовательной организацией самостоятельно.">
        <w:r>
          <w:rPr>
            <w:sz w:val="20"/>
            <w:color w:val="0000ff"/>
          </w:rPr>
          <w:t xml:space="preserve">пунктом 4</w:t>
        </w:r>
      </w:hyperlink>
      <w:r>
        <w:rPr>
          <w:sz w:val="20"/>
        </w:rPr>
        <w:t xml:space="preserve"> Порядка, направляет заявление(я) обучающегося(ихся) в Комиссию с прилагаемыми к нему(им) документами, а также информацией образовательной организации, содержащей сведения: о результатах промежуточной аттестации обучающегося за период обучения, предшествующего подаче им заявления на переход; об отсутствии дисциплинарных взысканий; об отсутствии задолженности по оплате обучения (далее - информация).</w:t>
      </w:r>
    </w:p>
    <w:bookmarkStart w:id="80" w:name="P80"/>
    <w:bookmarkEnd w:id="80"/>
    <w:p>
      <w:pPr>
        <w:pStyle w:val="0"/>
        <w:spacing w:before="200" w:lineRule="auto"/>
        <w:ind w:firstLine="540"/>
        <w:jc w:val="both"/>
      </w:pPr>
      <w:r>
        <w:rPr>
          <w:sz w:val="20"/>
        </w:rPr>
        <w:t xml:space="preserve">11. Приоритетность перехода обучающихся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за исключением случаев перехода за счет добровольных пожертвований или целевых взносов физических и (или) юридических лиц, устанавливается Комиссией в соответствии с условиями, указанными в </w:t>
      </w:r>
      <w:hyperlink w:history="0" w:anchor="P63" w:tooltip="6. Право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При переходе с платного обучения на вакантное бюджетное место, образовавшееся в результате отчисления лица, обучавшегося по договору о целевом обучении, приоритет отдается обучающимся, заключившим договор о целевом обучении по соответствующей профессии, специальности среднего профессионального образования, специальности высшего образования, направлению подготовки высшего образования, научной специальности.</w:t>
      </w:r>
    </w:p>
    <w:p>
      <w:pPr>
        <w:pStyle w:val="0"/>
        <w:spacing w:before="200" w:lineRule="auto"/>
        <w:ind w:firstLine="540"/>
        <w:jc w:val="both"/>
      </w:pPr>
      <w:r>
        <w:rPr>
          <w:sz w:val="20"/>
        </w:rPr>
        <w:t xml:space="preserve">12. В результате рассмотрения заявления о переходе, прилагаемых к нему документов и информации, Комиссией в срок не более 10 календарных дней с даты поступления от образовательной организации заявления на переход в соответствии с </w:t>
      </w:r>
      <w:hyperlink w:history="0" w:anchor="P79" w:tooltip="10. Образовательная организация в течение 2 календарных дней с даты окончания срока приема заявлений на переход, установленного в соответствии с пунктом 4 Порядка, направляет заявление(я) обучающегося(ихся) в Комиссию с прилагаемыми к нему(им) документами, а также информацией образовательной организации, содержащей сведения: о результатах промежуточной аттестации обучающегося за период обучения, предшествующего подаче им заявления на переход; об отсутствии дисциплинарных взысканий; об отсутствии задолжен...">
        <w:r>
          <w:rPr>
            <w:sz w:val="20"/>
            <w:color w:val="0000ff"/>
          </w:rPr>
          <w:t xml:space="preserve">пунктом 10</w:t>
        </w:r>
      </w:hyperlink>
      <w:r>
        <w:rPr>
          <w:sz w:val="20"/>
        </w:rPr>
        <w:t xml:space="preserve"> Порядка принимается одно из следующих решений:</w:t>
      </w:r>
    </w:p>
    <w:p>
      <w:pPr>
        <w:pStyle w:val="0"/>
        <w:spacing w:before="200" w:lineRule="auto"/>
        <w:ind w:firstLine="540"/>
        <w:jc w:val="both"/>
      </w:pPr>
      <w:r>
        <w:rPr>
          <w:sz w:val="20"/>
        </w:rPr>
        <w:t xml:space="preserve">о переходе обучающегося с платного обучения на обучение на вакантное бюджетное место;</w:t>
      </w:r>
    </w:p>
    <w:p>
      <w:pPr>
        <w:pStyle w:val="0"/>
        <w:spacing w:before="200" w:lineRule="auto"/>
        <w:ind w:firstLine="540"/>
        <w:jc w:val="both"/>
      </w:pPr>
      <w:r>
        <w:rPr>
          <w:sz w:val="20"/>
        </w:rPr>
        <w:t xml:space="preserve">о переходе обучающегося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pPr>
        <w:pStyle w:val="0"/>
        <w:spacing w:before="200" w:lineRule="auto"/>
        <w:ind w:firstLine="540"/>
        <w:jc w:val="both"/>
      </w:pPr>
      <w:r>
        <w:rPr>
          <w:sz w:val="20"/>
        </w:rPr>
        <w:t xml:space="preserve">об отказе в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pPr>
        <w:pStyle w:val="0"/>
        <w:spacing w:before="200" w:lineRule="auto"/>
        <w:ind w:firstLine="540"/>
        <w:jc w:val="both"/>
      </w:pPr>
      <w:r>
        <w:rPr>
          <w:sz w:val="20"/>
        </w:rPr>
        <w:t xml:space="preserve">13. Решение о переходе обучающегося с платного обучения на обучение за счет средств бюджетных ассигнований принимается Комиссией с учетом количества вакантных бюджетных мест и приоритетов, установленных Комиссией в соответствии с </w:t>
      </w:r>
      <w:hyperlink w:history="0" w:anchor="P80" w:tooltip="11. Приоритетность перехода обучающих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за исключением случаев перехода за счет добровольных пожертвований или целевых взносов физических и (или) юридических лиц, устанавливается Комиссией в соответствии с условиями, указанными в пункте 6 Порядка.">
        <w:r>
          <w:rPr>
            <w:sz w:val="20"/>
            <w:color w:val="0000ff"/>
          </w:rPr>
          <w:t xml:space="preserve">пунктом 11</w:t>
        </w:r>
      </w:hyperlink>
      <w:r>
        <w:rPr>
          <w:sz w:val="20"/>
        </w:rPr>
        <w:t xml:space="preserve"> Порядка.</w:t>
      </w:r>
    </w:p>
    <w:p>
      <w:pPr>
        <w:pStyle w:val="0"/>
        <w:spacing w:before="200" w:lineRule="auto"/>
        <w:ind w:firstLine="540"/>
        <w:jc w:val="both"/>
      </w:pPr>
      <w:r>
        <w:rPr>
          <w:sz w:val="20"/>
        </w:rPr>
        <w:t xml:space="preserve">14. При заполнении имеющихся вакантных бюджетных мест в отношении остальных заявлений на переход Комиссией принимается решение об отказе в переходе с платного обучения на обучение за счет средств бюджетных ассигнований либо о переходе обучающегося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pPr>
        <w:pStyle w:val="0"/>
        <w:spacing w:before="200" w:lineRule="auto"/>
        <w:ind w:firstLine="540"/>
        <w:jc w:val="both"/>
      </w:pPr>
      <w:r>
        <w:rPr>
          <w:sz w:val="20"/>
        </w:rPr>
        <w:t xml:space="preserve">15. Решение Комиссии доводится до сведения обучающихся путем его размещения без 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в информационно-телекоммуникационных сетях, в том числе на официальном сайте образовательной организации в сети "Интернет".</w:t>
      </w:r>
    </w:p>
    <w:p>
      <w:pPr>
        <w:pStyle w:val="0"/>
        <w:spacing w:before="200" w:lineRule="auto"/>
        <w:ind w:firstLine="540"/>
        <w:jc w:val="both"/>
      </w:pPr>
      <w:r>
        <w:rPr>
          <w:sz w:val="20"/>
        </w:rPr>
        <w:t xml:space="preserve">16.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оформляется распорядительным актом образовательной организации, изданным руководителем образовательной организации или уполномоченным им лицом, не позднее 10 календарных дней с даты принятия Комиссией решения о таком переходе.</w:t>
      </w:r>
    </w:p>
    <w:p>
      <w:pPr>
        <w:pStyle w:val="0"/>
        <w:spacing w:before="200" w:lineRule="auto"/>
        <w:ind w:firstLine="540"/>
        <w:jc w:val="both"/>
      </w:pPr>
      <w:r>
        <w:rPr>
          <w:sz w:val="20"/>
        </w:rPr>
        <w:t xml:space="preserve">В случае перехода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с обучающимся заключается соответственно договор об образовании или договор о целевом обучении.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28.08.2023 N 822</w:t>
            <w:br/>
            <w:t>"Об утверждении порядка и случаев перехода лиц, обучающихся по образовател...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229" TargetMode = "External"/><Relationship Id="rId9" Type="http://schemas.openxmlformats.org/officeDocument/2006/relationships/hyperlink" Target="https://login.consultant.ru/link/?req=doc&amp;base=LAW&amp;n=444703&amp;dst=100012" TargetMode = "External"/><Relationship Id="rId10" Type="http://schemas.openxmlformats.org/officeDocument/2006/relationships/hyperlink" Target="https://login.consultant.ru/link/?req=doc&amp;base=LAW&amp;n=526501&amp;dst=51" TargetMode = "External"/><Relationship Id="rId11" Type="http://schemas.openxmlformats.org/officeDocument/2006/relationships/hyperlink" Target="https://login.consultant.ru/link/?req=doc&amp;base=LAW&amp;n=526501&amp;dst=100040" TargetMode = "External"/><Relationship Id="rId12" Type="http://schemas.openxmlformats.org/officeDocument/2006/relationships/hyperlink" Target="https://login.consultant.ru/link/?req=doc&amp;base=LAW&amp;n=455095" TargetMode = "External"/><Relationship Id="rId13" Type="http://schemas.openxmlformats.org/officeDocument/2006/relationships/hyperlink" Target="https://login.consultant.ru/link/?req=doc&amp;base=LAW&amp;n=170469" TargetMode = "External"/><Relationship Id="rId14" Type="http://schemas.openxmlformats.org/officeDocument/2006/relationships/hyperlink" Target="https://login.consultant.ru/link/?req=doc&amp;base=LAW&amp;n=216357" TargetMode = "External"/><Relationship Id="rId15" Type="http://schemas.openxmlformats.org/officeDocument/2006/relationships/hyperlink" Target="https://login.consultant.ru/link/?req=doc&amp;base=LAW&amp;n=455059" TargetMode = "External"/><Relationship Id="rId16" Type="http://schemas.openxmlformats.org/officeDocument/2006/relationships/hyperlink" Target="https://login.consultant.ru/link/?req=doc&amp;base=LAW&amp;n=454607&amp;dst=10000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28.08.2023 N 822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dc:title>
  <dcterms:created xsi:type="dcterms:W3CDTF">2026-02-17T06:54:34Z</dcterms:created>
</cp:coreProperties>
</file>